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61" w:rsidRDefault="00340AC6">
      <w:pPr>
        <w:spacing w:after="0"/>
        <w:jc w:val="right"/>
      </w:pPr>
      <w:bookmarkStart w:id="0" w:name="_GoBack"/>
      <w:bookmarkEnd w:id="0"/>
      <w:r>
        <w:rPr>
          <w:rFonts w:ascii="Lato Black"/>
          <w:b/>
        </w:rPr>
        <w:t>MSBA Core Manual</w:t>
      </w:r>
    </w:p>
    <w:p w:rsidR="00D50F61" w:rsidRDefault="00340AC6">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000" w:firstRow="0" w:lastRow="0" w:firstColumn="0" w:lastColumn="0" w:noHBand="0" w:noVBand="0"/>
      </w:tblPr>
      <w:tblGrid>
        <w:gridCol w:w="7701"/>
        <w:gridCol w:w="1925"/>
      </w:tblGrid>
      <w:tr w:rsidR="00D50F61">
        <w:tblPrEx>
          <w:tblCellMar>
            <w:bottom w:w="0" w:type="dxa"/>
          </w:tblCellMar>
        </w:tblPrEx>
        <w:tc>
          <w:tcPr>
            <w:tcW w:w="0" w:type="auto"/>
            <w:shd w:val="clear" w:color="auto" w:fill="EFEFEF"/>
          </w:tcPr>
          <w:p w:rsidR="00D50F61" w:rsidRDefault="00340AC6">
            <w:pPr>
              <w:spacing w:after="0"/>
            </w:pPr>
            <w:r>
              <w:rPr>
                <w:rFonts w:ascii="Lato Black"/>
                <w:b/>
              </w:rPr>
              <w:t>Policy BDDH-2: PUBLIC PARTICIPATION AT BOARD MEETINGS</w:t>
            </w:r>
          </w:p>
        </w:tc>
        <w:tc>
          <w:tcPr>
            <w:tcW w:w="1000" w:type="pct"/>
            <w:shd w:val="clear" w:color="auto" w:fill="EFEFEF"/>
          </w:tcPr>
          <w:p w:rsidR="00D50F61" w:rsidRDefault="00340AC6">
            <w:r>
              <w:rPr>
                <w:rFonts w:ascii="Lato Black"/>
                <w:b/>
              </w:rPr>
              <w:t xml:space="preserve">Status: </w:t>
            </w:r>
            <w:r>
              <w:rPr>
                <w:rFonts w:ascii="Lato"/>
              </w:rPr>
              <w:t>ADOPTED</w:t>
            </w:r>
          </w:p>
        </w:tc>
      </w:tr>
      <w:tr w:rsidR="00D50F61">
        <w:tblPrEx>
          <w:tblCellMar>
            <w:bottom w:w="0" w:type="dxa"/>
          </w:tblCellMar>
        </w:tblPrEx>
        <w:tc>
          <w:tcPr>
            <w:tcW w:w="0" w:type="auto"/>
            <w:shd w:val="clear" w:color="auto" w:fill="EFEFEF"/>
          </w:tcPr>
          <w:p w:rsidR="00D50F61" w:rsidRDefault="00340AC6">
            <w:r>
              <w:rPr>
                <w:rFonts w:ascii="Lato Black"/>
                <w:b/>
                <w:sz w:val="18"/>
              </w:rPr>
              <w:t xml:space="preserve">Original Adopted Date: </w:t>
            </w:r>
            <w:r>
              <w:rPr>
                <w:rFonts w:ascii="Lato"/>
                <w:sz w:val="18"/>
              </w:rPr>
              <w:t>01/23/2020</w:t>
            </w:r>
            <w:r>
              <w:rPr>
                <w:rFonts w:ascii="Lato Black"/>
                <w:b/>
                <w:sz w:val="18"/>
              </w:rPr>
              <w:t xml:space="preserve"> | Last Revised Date: </w:t>
            </w:r>
            <w:r>
              <w:rPr>
                <w:rFonts w:ascii="Lato"/>
                <w:sz w:val="18"/>
              </w:rPr>
              <w:t>01/01/2023</w:t>
            </w:r>
            <w:r>
              <w:rPr>
                <w:rFonts w:ascii="Lato Black"/>
                <w:b/>
                <w:sz w:val="18"/>
              </w:rPr>
              <w:t xml:space="preserve"> | Last Reviewed Date: </w:t>
            </w:r>
            <w:r>
              <w:rPr>
                <w:rFonts w:ascii="Lato"/>
                <w:sz w:val="18"/>
              </w:rPr>
              <w:t>01/01/2023</w:t>
            </w:r>
          </w:p>
        </w:tc>
        <w:tc>
          <w:tcPr>
            <w:tcW w:w="0" w:type="auto"/>
            <w:shd w:val="clear" w:color="auto" w:fill="EFEFEF"/>
          </w:tcPr>
          <w:p w:rsidR="00D50F61" w:rsidRDefault="00D50F61">
            <w:pPr>
              <w:spacing w:after="0"/>
            </w:pPr>
          </w:p>
        </w:tc>
      </w:tr>
    </w:tbl>
    <w:p w:rsidR="00D50F61" w:rsidRDefault="00D50F61">
      <w:pPr>
        <w:spacing w:after="30"/>
        <w:jc w:val="right"/>
      </w:pPr>
    </w:p>
    <w:p w:rsidR="00000000" w:rsidRDefault="00340AC6">
      <w:pPr>
        <w:pStyle w:val="Heading3"/>
        <w:jc w:val="center"/>
        <w:divId w:val="2121217649"/>
        <w:rPr>
          <w:rFonts w:ascii="Lato" w:eastAsia="Times New Roman" w:hAnsi="Lato"/>
        </w:rPr>
      </w:pPr>
      <w:r>
        <w:rPr>
          <w:rStyle w:val="Emphasis"/>
          <w:rFonts w:ascii="Lato" w:eastAsia="Times New Roman" w:hAnsi="Lato"/>
        </w:rPr>
        <w:t>(Districts Not Allowing a Public Comment Period)</w:t>
      </w:r>
    </w:p>
    <w:p w:rsidR="00000000" w:rsidRDefault="00340AC6">
      <w:pPr>
        <w:divId w:val="2121217649"/>
        <w:rPr>
          <w:rFonts w:ascii="Lato" w:eastAsia="Times New Roman" w:hAnsi="Lato"/>
        </w:rPr>
      </w:pPr>
      <w:r>
        <w:rPr>
          <w:rFonts w:ascii="Lato" w:eastAsia="Times New Roman" w:hAnsi="Lato"/>
        </w:rPr>
        <w:br/>
      </w:r>
      <w:r>
        <w:rPr>
          <w:rFonts w:ascii="Lato" w:eastAsia="Times New Roman" w:hAnsi="Lato"/>
        </w:rPr>
        <w:t>The school board is acutely aware that board members are elected to serve the public, and the board seeks to conduct its business transparently. The district encourages the public to attend open school board meetings and other public meetings in person and</w:t>
      </w:r>
      <w:r>
        <w:rPr>
          <w:rFonts w:ascii="Lato" w:eastAsia="Times New Roman" w:hAnsi="Lato"/>
        </w:rPr>
        <w:t>, when available, virtually. In addition, there are some instances where members of the public may be provided the opportunity to speak at a school board meeting. As an extension of policy KC, Community Engagement, the board has created the following optio</w:t>
      </w:r>
      <w:r>
        <w:rPr>
          <w:rFonts w:ascii="Lato" w:eastAsia="Times New Roman" w:hAnsi="Lato"/>
        </w:rPr>
        <w:t xml:space="preserve">ns for receiving input from students, employees and community members. </w:t>
      </w:r>
    </w:p>
    <w:p w:rsidR="00000000" w:rsidRDefault="00340AC6">
      <w:pPr>
        <w:pStyle w:val="Heading3"/>
        <w:divId w:val="2121217649"/>
        <w:rPr>
          <w:rFonts w:ascii="Lato" w:eastAsia="Times New Roman" w:hAnsi="Lato"/>
        </w:rPr>
      </w:pPr>
      <w:r>
        <w:rPr>
          <w:rFonts w:ascii="Lato" w:eastAsia="Times New Roman" w:hAnsi="Lato"/>
        </w:rPr>
        <w:t>Grievance Policies and Procedures</w:t>
      </w:r>
    </w:p>
    <w:p w:rsidR="00000000" w:rsidRDefault="00340AC6">
      <w:pPr>
        <w:divId w:val="2121217649"/>
        <w:rPr>
          <w:rFonts w:ascii="Lato" w:eastAsia="Times New Roman" w:hAnsi="Lato"/>
        </w:rPr>
      </w:pPr>
      <w:r>
        <w:rPr>
          <w:rFonts w:ascii="Lato" w:eastAsia="Times New Roman" w:hAnsi="Lato"/>
        </w:rPr>
        <w:br/>
        <w:t>The district has established several policies and procedures to assist students, parents/guardians, staff and the public in bringing concerns or grie</w:t>
      </w:r>
      <w:r>
        <w:rPr>
          <w:rFonts w:ascii="Lato" w:eastAsia="Times New Roman" w:hAnsi="Lato"/>
        </w:rPr>
        <w:t>vances to the district. The board encourages the public to utilize these policies and procedures before bringing concerns to the board and may refer the public to these processes prior to taking action.</w:t>
      </w:r>
      <w:r>
        <w:rPr>
          <w:rFonts w:ascii="Lato" w:eastAsia="Times New Roman" w:hAnsi="Lato"/>
        </w:rPr>
        <w:br/>
      </w:r>
      <w:r>
        <w:rPr>
          <w:rFonts w:ascii="Lato" w:eastAsia="Times New Roman" w:hAnsi="Lato"/>
        </w:rPr>
        <w:br/>
        <w:t>These policies include, but are not limited to:</w:t>
      </w:r>
      <w:r>
        <w:rPr>
          <w:rFonts w:ascii="Lato" w:eastAsia="Times New Roman" w:hAnsi="Lato"/>
        </w:rPr>
        <w:br/>
        <w:t xml:space="preserve">  </w:t>
      </w:r>
    </w:p>
    <w:p w:rsidR="00000000" w:rsidRDefault="00340AC6">
      <w:pPr>
        <w:divId w:val="852454384"/>
        <w:rPr>
          <w:rFonts w:ascii="Lato" w:eastAsia="Times New Roman" w:hAnsi="Lato"/>
        </w:rPr>
      </w:pPr>
      <w:r>
        <w:rPr>
          <w:rFonts w:ascii="Lato" w:eastAsia="Times New Roman" w:hAnsi="Lato"/>
        </w:rPr>
        <w:t>A</w:t>
      </w:r>
      <w:r>
        <w:rPr>
          <w:rFonts w:ascii="Lato" w:eastAsia="Times New Roman" w:hAnsi="Lato"/>
        </w:rPr>
        <w:t>C, Prohibition against Illegal Discrimination, Harassment and Retaliation</w:t>
      </w:r>
      <w:r>
        <w:rPr>
          <w:rFonts w:ascii="Lato" w:eastAsia="Times New Roman" w:hAnsi="Lato"/>
        </w:rPr>
        <w:br/>
      </w:r>
      <w:r>
        <w:rPr>
          <w:rFonts w:ascii="Lato" w:eastAsia="Times New Roman" w:hAnsi="Lato"/>
        </w:rPr>
        <w:br/>
        <w:t>ACA, Sexual Harassment under Title IX</w:t>
      </w:r>
      <w:r>
        <w:rPr>
          <w:rFonts w:ascii="Lato" w:eastAsia="Times New Roman" w:hAnsi="Lato"/>
        </w:rPr>
        <w:br/>
      </w:r>
      <w:r>
        <w:rPr>
          <w:rFonts w:ascii="Lato" w:eastAsia="Times New Roman" w:hAnsi="Lato"/>
        </w:rPr>
        <w:br/>
        <w:t>DA, Fiscal Responsibility</w:t>
      </w:r>
      <w:r>
        <w:rPr>
          <w:rFonts w:ascii="Lato" w:eastAsia="Times New Roman" w:hAnsi="Lato"/>
        </w:rPr>
        <w:br/>
      </w:r>
      <w:r>
        <w:rPr>
          <w:rFonts w:ascii="Lato" w:eastAsia="Times New Roman" w:hAnsi="Lato"/>
        </w:rPr>
        <w:br/>
        <w:t>GBM, Staff Grievances</w:t>
      </w:r>
      <w:r>
        <w:rPr>
          <w:rFonts w:ascii="Lato" w:eastAsia="Times New Roman" w:hAnsi="Lato"/>
        </w:rPr>
        <w:br/>
      </w:r>
      <w:r>
        <w:rPr>
          <w:rFonts w:ascii="Lato" w:eastAsia="Times New Roman" w:hAnsi="Lato"/>
        </w:rPr>
        <w:br/>
        <w:t>IGBCA, Programs for Homeless Students</w:t>
      </w:r>
      <w:r>
        <w:rPr>
          <w:rFonts w:ascii="Lato" w:eastAsia="Times New Roman" w:hAnsi="Lato"/>
        </w:rPr>
        <w:br/>
      </w:r>
      <w:r>
        <w:rPr>
          <w:rFonts w:ascii="Lato" w:eastAsia="Times New Roman" w:hAnsi="Lato"/>
        </w:rPr>
        <w:br/>
        <w:t>IGBE, Students in Foster Care</w:t>
      </w:r>
      <w:r>
        <w:rPr>
          <w:rFonts w:ascii="Lato" w:eastAsia="Times New Roman" w:hAnsi="Lato"/>
        </w:rPr>
        <w:br/>
      </w:r>
      <w:r>
        <w:rPr>
          <w:rFonts w:ascii="Lato" w:eastAsia="Times New Roman" w:hAnsi="Lato"/>
        </w:rPr>
        <w:br/>
        <w:t>JGD, Student Suspensio</w:t>
      </w:r>
      <w:r>
        <w:rPr>
          <w:rFonts w:ascii="Lato" w:eastAsia="Times New Roman" w:hAnsi="Lato"/>
        </w:rPr>
        <w:t>n and Expulsion</w:t>
      </w:r>
      <w:r>
        <w:rPr>
          <w:rFonts w:ascii="Lato" w:eastAsia="Times New Roman" w:hAnsi="Lato"/>
        </w:rPr>
        <w:br/>
      </w:r>
      <w:r>
        <w:rPr>
          <w:rFonts w:ascii="Lato" w:eastAsia="Times New Roman" w:hAnsi="Lato"/>
        </w:rPr>
        <w:br/>
        <w:t>KL, Public Concerns and Complaints</w:t>
      </w:r>
      <w:r>
        <w:rPr>
          <w:rFonts w:ascii="Lato" w:eastAsia="Times New Roman" w:hAnsi="Lato"/>
        </w:rPr>
        <w:br/>
      </w:r>
      <w:r>
        <w:rPr>
          <w:rFonts w:ascii="Lato" w:eastAsia="Times New Roman" w:hAnsi="Lato"/>
        </w:rPr>
        <w:br/>
        <w:t>KLA, Concerns and Complaints Regarding Federal Programs</w:t>
      </w:r>
      <w:r>
        <w:rPr>
          <w:rFonts w:ascii="Lato" w:eastAsia="Times New Roman" w:hAnsi="Lato"/>
        </w:rPr>
        <w:br/>
      </w:r>
      <w:r>
        <w:rPr>
          <w:rFonts w:ascii="Lato" w:eastAsia="Times New Roman" w:hAnsi="Lato"/>
        </w:rPr>
        <w:br/>
        <w:t>KLB, Public Questions, Comments or Concerns Regarding District Instructional/Media/Library Materials</w:t>
      </w:r>
    </w:p>
    <w:p w:rsidR="00000000" w:rsidRDefault="00340AC6">
      <w:pPr>
        <w:divId w:val="2121217649"/>
        <w:rPr>
          <w:rFonts w:ascii="Lato" w:eastAsia="Times New Roman" w:hAnsi="Lato"/>
        </w:rPr>
      </w:pPr>
      <w:r>
        <w:rPr>
          <w:rFonts w:ascii="Lato" w:eastAsia="Times New Roman" w:hAnsi="Lato"/>
        </w:rPr>
        <w:lastRenderedPageBreak/>
        <w:br/>
        <w:t>There are additional legal processes created</w:t>
      </w:r>
      <w:r>
        <w:rPr>
          <w:rFonts w:ascii="Lato" w:eastAsia="Times New Roman" w:hAnsi="Lato"/>
        </w:rPr>
        <w:t xml:space="preserve"> by law to address concerns about accommodating students with disabilities or concerns about a student's special education program. </w:t>
      </w:r>
    </w:p>
    <w:p w:rsidR="00000000" w:rsidRDefault="00340AC6">
      <w:pPr>
        <w:pStyle w:val="Heading3"/>
        <w:divId w:val="2121217649"/>
        <w:rPr>
          <w:rFonts w:ascii="Lato" w:eastAsia="Times New Roman" w:hAnsi="Lato"/>
        </w:rPr>
      </w:pPr>
      <w:r>
        <w:rPr>
          <w:rFonts w:ascii="Lato" w:eastAsia="Times New Roman" w:hAnsi="Lato"/>
        </w:rPr>
        <w:t>Agenda Items</w:t>
      </w:r>
    </w:p>
    <w:p w:rsidR="00000000" w:rsidRDefault="00340AC6">
      <w:pPr>
        <w:divId w:val="2121217649"/>
        <w:rPr>
          <w:rFonts w:ascii="Lato" w:eastAsia="Times New Roman" w:hAnsi="Lato"/>
        </w:rPr>
      </w:pPr>
      <w:r>
        <w:rPr>
          <w:rFonts w:ascii="Lato" w:eastAsia="Times New Roman" w:hAnsi="Lato"/>
        </w:rPr>
        <w:br/>
        <w:t xml:space="preserve">In accordance with law and the district's community engagement policy, district residents may place items on </w:t>
      </w:r>
      <w:r>
        <w:rPr>
          <w:rFonts w:ascii="Lato" w:eastAsia="Times New Roman" w:hAnsi="Lato"/>
        </w:rPr>
        <w:t>the agenda of a regularly scheduled board meeting as outlined in this policy. The agenda items must be directly related to the governance or operation of the district. The board will not hear resident-initiated agenda items at meetings other than the board</w:t>
      </w:r>
      <w:r>
        <w:rPr>
          <w:rFonts w:ascii="Lato" w:eastAsia="Times New Roman" w:hAnsi="Lato"/>
        </w:rPr>
        <w:t>'s regularly scheduled meeting unless the board president grants an exception.</w:t>
      </w:r>
      <w:r>
        <w:rPr>
          <w:rFonts w:ascii="Lato" w:eastAsia="Times New Roman" w:hAnsi="Lato"/>
        </w:rPr>
        <w:br/>
      </w:r>
      <w:r>
        <w:rPr>
          <w:rFonts w:ascii="Lato" w:eastAsia="Times New Roman" w:hAnsi="Lato"/>
        </w:rPr>
        <w:br/>
        <w:t>Residents who wish to place an item on the agenda must first meet with the superintendent or designee to attempt to resolve the issue unless the superintendent or designee waiv</w:t>
      </w:r>
      <w:r>
        <w:rPr>
          <w:rFonts w:ascii="Lato" w:eastAsia="Times New Roman" w:hAnsi="Lato"/>
        </w:rPr>
        <w:t>es such a meeting. The meeting will take place within 20 business days of the superintendent or designee receiving a written request to meet. </w:t>
      </w:r>
      <w:proofErr w:type="gramStart"/>
      <w:r>
        <w:rPr>
          <w:rFonts w:ascii="Lato" w:eastAsia="Times New Roman" w:hAnsi="Lato"/>
        </w:rPr>
        <w:t>If the superintendent or designee waives the meeting or does not meet with the resident within 20 business days, o</w:t>
      </w:r>
      <w:r>
        <w:rPr>
          <w:rFonts w:ascii="Lato" w:eastAsia="Times New Roman" w:hAnsi="Lato"/>
        </w:rPr>
        <w:t>r if the resident is not satisfied with the meeting's outcome, the resident may submit a written request to the board secretary to add the item to the board agenda.</w:t>
      </w:r>
      <w:proofErr w:type="gramEnd"/>
      <w:r>
        <w:rPr>
          <w:rFonts w:ascii="Lato" w:eastAsia="Times New Roman" w:hAnsi="Lato"/>
        </w:rPr>
        <w:br/>
      </w:r>
      <w:r>
        <w:rPr>
          <w:rFonts w:ascii="Lato" w:eastAsia="Times New Roman" w:hAnsi="Lato"/>
        </w:rPr>
        <w:br/>
        <w:t xml:space="preserve">The board secretary will include the item on the next regularly scheduled board meeting's </w:t>
      </w:r>
      <w:r>
        <w:rPr>
          <w:rFonts w:ascii="Lato" w:eastAsia="Times New Roman" w:hAnsi="Lato"/>
        </w:rPr>
        <w:t xml:space="preserve">agenda, subject to the rules listed below, if the resident submits the request to the board secretary at least five days prior to the meeting. Otherwise, the board secretary will place the item on the agenda for the subsequent regularly scheduled meeting. </w:t>
      </w:r>
    </w:p>
    <w:p w:rsidR="00000000" w:rsidRDefault="00340AC6">
      <w:pPr>
        <w:pStyle w:val="Heading4"/>
        <w:divId w:val="2121217649"/>
        <w:rPr>
          <w:rFonts w:ascii="Lato" w:eastAsia="Times New Roman" w:hAnsi="Lato"/>
        </w:rPr>
      </w:pPr>
      <w:r>
        <w:rPr>
          <w:rStyle w:val="Emphasis"/>
          <w:rFonts w:ascii="Lato" w:eastAsia="Times New Roman" w:hAnsi="Lato"/>
        </w:rPr>
        <w:t>Rules</w:t>
      </w:r>
    </w:p>
    <w:p w:rsidR="00000000" w:rsidRDefault="00340AC6">
      <w:pPr>
        <w:numPr>
          <w:ilvl w:val="0"/>
          <w:numId w:val="1"/>
        </w:numPr>
        <w:spacing w:before="100" w:beforeAutospacing="1" w:after="100" w:afterAutospacing="1" w:line="240" w:lineRule="auto"/>
        <w:divId w:val="2121217649"/>
        <w:rPr>
          <w:rFonts w:ascii="Lato" w:eastAsia="Times New Roman" w:hAnsi="Lato"/>
        </w:rPr>
      </w:pPr>
      <w:r>
        <w:rPr>
          <w:rFonts w:ascii="Lato" w:eastAsia="Times New Roman" w:hAnsi="Lato"/>
        </w:rPr>
        <w:t>The board may move an agenda item to a different meeting with the consent of the resident.</w:t>
      </w:r>
      <w:r>
        <w:rPr>
          <w:rFonts w:ascii="Lato" w:eastAsia="Times New Roman" w:hAnsi="Lato"/>
        </w:rPr>
        <w:br/>
        <w:t> </w:t>
      </w:r>
    </w:p>
    <w:p w:rsidR="00000000" w:rsidRDefault="00340AC6">
      <w:pPr>
        <w:numPr>
          <w:ilvl w:val="0"/>
          <w:numId w:val="1"/>
        </w:numPr>
        <w:spacing w:before="100" w:beforeAutospacing="1" w:after="100" w:afterAutospacing="1" w:line="240" w:lineRule="auto"/>
        <w:divId w:val="2121217649"/>
        <w:rPr>
          <w:rFonts w:ascii="Lato" w:eastAsia="Times New Roman" w:hAnsi="Lato"/>
        </w:rPr>
      </w:pPr>
      <w:r>
        <w:rPr>
          <w:rFonts w:ascii="Lato" w:eastAsia="Times New Roman" w:hAnsi="Lato"/>
        </w:rPr>
        <w:t>The board may refuse to hear or delay hearing an agenda item if:</w:t>
      </w:r>
      <w:r>
        <w:rPr>
          <w:rFonts w:ascii="Lato" w:eastAsia="Times New Roman" w:hAnsi="Lato"/>
        </w:rPr>
        <w:br/>
        <w:t xml:space="preserve">  </w:t>
      </w:r>
    </w:p>
    <w:p w:rsidR="00000000" w:rsidRDefault="00340AC6">
      <w:pPr>
        <w:numPr>
          <w:ilvl w:val="1"/>
          <w:numId w:val="1"/>
        </w:numPr>
        <w:spacing w:before="100" w:beforeAutospacing="1" w:after="100" w:afterAutospacing="1" w:line="240" w:lineRule="auto"/>
        <w:divId w:val="2121217649"/>
        <w:rPr>
          <w:rFonts w:ascii="Lato" w:eastAsia="Times New Roman" w:hAnsi="Lato"/>
        </w:rPr>
      </w:pPr>
      <w:r>
        <w:rPr>
          <w:rFonts w:ascii="Lato" w:eastAsia="Times New Roman" w:hAnsi="Lato"/>
        </w:rPr>
        <w:t>The board has heard an identical or substantially similar agenda item in the previous th</w:t>
      </w:r>
      <w:r>
        <w:rPr>
          <w:rFonts w:ascii="Lato" w:eastAsia="Times New Roman" w:hAnsi="Lato"/>
        </w:rPr>
        <w:t>ree calendar months; or</w:t>
      </w:r>
      <w:r>
        <w:rPr>
          <w:rFonts w:ascii="Lato" w:eastAsia="Times New Roman" w:hAnsi="Lato"/>
        </w:rPr>
        <w:br/>
        <w:t> </w:t>
      </w:r>
    </w:p>
    <w:p w:rsidR="00000000" w:rsidRDefault="00340AC6">
      <w:pPr>
        <w:numPr>
          <w:ilvl w:val="1"/>
          <w:numId w:val="1"/>
        </w:numPr>
        <w:spacing w:before="100" w:beforeAutospacing="1" w:after="100" w:afterAutospacing="1" w:line="240" w:lineRule="auto"/>
        <w:divId w:val="2121217649"/>
        <w:rPr>
          <w:rFonts w:ascii="Lato" w:eastAsia="Times New Roman" w:hAnsi="Lato"/>
        </w:rPr>
      </w:pPr>
      <w:r>
        <w:rPr>
          <w:rFonts w:ascii="Lato" w:eastAsia="Times New Roman" w:hAnsi="Lato"/>
        </w:rPr>
        <w:t>The resident has previously violated district rules regarding conduct at meetings or on district property.</w:t>
      </w:r>
      <w:r>
        <w:rPr>
          <w:rFonts w:ascii="Lato" w:eastAsia="Times New Roman" w:hAnsi="Lato"/>
        </w:rPr>
        <w:br/>
        <w:t>​​​​​​​</w:t>
      </w:r>
    </w:p>
    <w:p w:rsidR="00000000" w:rsidRDefault="00340AC6">
      <w:pPr>
        <w:numPr>
          <w:ilvl w:val="0"/>
          <w:numId w:val="1"/>
        </w:numPr>
        <w:spacing w:before="100" w:beforeAutospacing="1" w:after="100" w:afterAutospacing="1" w:line="240" w:lineRule="auto"/>
        <w:divId w:val="2121217649"/>
        <w:rPr>
          <w:rFonts w:ascii="Lato" w:eastAsia="Times New Roman" w:hAnsi="Lato"/>
        </w:rPr>
      </w:pPr>
      <w:r>
        <w:rPr>
          <w:rFonts w:ascii="Lato" w:eastAsia="Times New Roman" w:hAnsi="Lato"/>
        </w:rPr>
        <w:t>The board may delay the hearing of a requested item if more than three resident-initiated agenda items are schedule</w:t>
      </w:r>
      <w:r>
        <w:rPr>
          <w:rFonts w:ascii="Lato" w:eastAsia="Times New Roman" w:hAnsi="Lato"/>
        </w:rPr>
        <w:t>d for the same meeting. The delayed agenda item will be moved to the next regularly scheduled meeting. If a resident's item is delayed for this reason, the resident will be provided an alternate method of communication with the board, such as submitting wr</w:t>
      </w:r>
      <w:r>
        <w:rPr>
          <w:rFonts w:ascii="Lato" w:eastAsia="Times New Roman" w:hAnsi="Lato"/>
        </w:rPr>
        <w:t>itten comments.</w:t>
      </w:r>
      <w:r>
        <w:rPr>
          <w:rFonts w:ascii="Lato" w:eastAsia="Times New Roman" w:hAnsi="Lato"/>
        </w:rPr>
        <w:br/>
        <w:t> </w:t>
      </w:r>
    </w:p>
    <w:p w:rsidR="00000000" w:rsidRDefault="00340AC6">
      <w:pPr>
        <w:numPr>
          <w:ilvl w:val="0"/>
          <w:numId w:val="1"/>
        </w:numPr>
        <w:spacing w:before="100" w:beforeAutospacing="1" w:after="100" w:afterAutospacing="1" w:line="240" w:lineRule="auto"/>
        <w:divId w:val="2121217649"/>
        <w:rPr>
          <w:rFonts w:ascii="Lato" w:eastAsia="Times New Roman" w:hAnsi="Lato"/>
        </w:rPr>
      </w:pPr>
      <w:r>
        <w:rPr>
          <w:rFonts w:ascii="Lato" w:eastAsia="Times New Roman" w:hAnsi="Lato"/>
        </w:rPr>
        <w:t>The board president will make the decision on whether to delay or refuse an agenda item and will communicate that decision to the resident and the other board members. Board members who disagree with the decision may communicate their con</w:t>
      </w:r>
      <w:r>
        <w:rPr>
          <w:rFonts w:ascii="Lato" w:eastAsia="Times New Roman" w:hAnsi="Lato"/>
        </w:rPr>
        <w:t>cern to the board president, request that the agenda item be added, request that a special meeting be called, or make a motion at a meeting for the item to be included on a future meeting's agenda.</w:t>
      </w:r>
      <w:r>
        <w:rPr>
          <w:rFonts w:ascii="Lato" w:eastAsia="Times New Roman" w:hAnsi="Lato"/>
        </w:rPr>
        <w:br/>
        <w:t> </w:t>
      </w:r>
    </w:p>
    <w:p w:rsidR="00000000" w:rsidRDefault="00340AC6">
      <w:pPr>
        <w:numPr>
          <w:ilvl w:val="0"/>
          <w:numId w:val="1"/>
        </w:numPr>
        <w:spacing w:before="100" w:beforeAutospacing="1" w:after="100" w:afterAutospacing="1" w:line="240" w:lineRule="auto"/>
        <w:divId w:val="2121217649"/>
        <w:rPr>
          <w:rFonts w:ascii="Lato" w:eastAsia="Times New Roman" w:hAnsi="Lato"/>
        </w:rPr>
      </w:pPr>
      <w:r>
        <w:rPr>
          <w:rFonts w:ascii="Lato" w:eastAsia="Times New Roman" w:hAnsi="Lato"/>
        </w:rPr>
        <w:t>The board will place the agenda item in open or closed s</w:t>
      </w:r>
      <w:r>
        <w:rPr>
          <w:rFonts w:ascii="Lato" w:eastAsia="Times New Roman" w:hAnsi="Lato"/>
        </w:rPr>
        <w:t>ession in accordance with law and district policy.</w:t>
      </w:r>
      <w:r>
        <w:rPr>
          <w:rFonts w:ascii="Lato" w:eastAsia="Times New Roman" w:hAnsi="Lato"/>
        </w:rPr>
        <w:br/>
        <w:t> </w:t>
      </w:r>
    </w:p>
    <w:p w:rsidR="00000000" w:rsidRDefault="00340AC6">
      <w:pPr>
        <w:numPr>
          <w:ilvl w:val="0"/>
          <w:numId w:val="1"/>
        </w:numPr>
        <w:spacing w:before="100" w:beforeAutospacing="1" w:after="100" w:afterAutospacing="1" w:line="240" w:lineRule="auto"/>
        <w:divId w:val="2121217649"/>
        <w:rPr>
          <w:rFonts w:ascii="Lato" w:eastAsia="Times New Roman" w:hAnsi="Lato"/>
        </w:rPr>
      </w:pPr>
      <w:r>
        <w:rPr>
          <w:rFonts w:ascii="Lato" w:eastAsia="Times New Roman" w:hAnsi="Lato"/>
        </w:rPr>
        <w:lastRenderedPageBreak/>
        <w:t>The superintendent or designee may invite district staff or other relevant persons to be present during the discussion of the agenda item to address the item and answer questions.</w:t>
      </w:r>
      <w:r>
        <w:rPr>
          <w:rFonts w:ascii="Lato" w:eastAsia="Times New Roman" w:hAnsi="Lato"/>
        </w:rPr>
        <w:br/>
        <w:t> </w:t>
      </w:r>
    </w:p>
    <w:p w:rsidR="00000000" w:rsidRDefault="00340AC6">
      <w:pPr>
        <w:numPr>
          <w:ilvl w:val="0"/>
          <w:numId w:val="1"/>
        </w:numPr>
        <w:spacing w:before="100" w:beforeAutospacing="1" w:after="100" w:afterAutospacing="1" w:line="240" w:lineRule="auto"/>
        <w:divId w:val="2121217649"/>
        <w:rPr>
          <w:rFonts w:ascii="Lato" w:eastAsia="Times New Roman" w:hAnsi="Lato"/>
        </w:rPr>
      </w:pPr>
      <w:r>
        <w:rPr>
          <w:rFonts w:ascii="Lato" w:eastAsia="Times New Roman" w:hAnsi="Lato"/>
        </w:rPr>
        <w:t xml:space="preserve">The board will allow </w:t>
      </w:r>
      <w:r>
        <w:rPr>
          <w:rFonts w:ascii="Lato" w:eastAsia="Times New Roman" w:hAnsi="Lato"/>
        </w:rPr>
        <w:t xml:space="preserve">the resident five minutes </w:t>
      </w:r>
      <w:proofErr w:type="gramStart"/>
      <w:r>
        <w:rPr>
          <w:rFonts w:ascii="Lato" w:eastAsia="Times New Roman" w:hAnsi="Lato"/>
        </w:rPr>
        <w:t>to present</w:t>
      </w:r>
      <w:proofErr w:type="gramEnd"/>
      <w:r>
        <w:rPr>
          <w:rFonts w:ascii="Lato" w:eastAsia="Times New Roman" w:hAnsi="Lato"/>
        </w:rPr>
        <w:t xml:space="preserve"> their issue to the board unless the board president allots more time to the discussion.</w:t>
      </w:r>
      <w:r>
        <w:rPr>
          <w:rFonts w:ascii="Lato" w:eastAsia="Times New Roman" w:hAnsi="Lato"/>
        </w:rPr>
        <w:br/>
        <w:t> </w:t>
      </w:r>
    </w:p>
    <w:p w:rsidR="00000000" w:rsidRDefault="00340AC6">
      <w:pPr>
        <w:numPr>
          <w:ilvl w:val="0"/>
          <w:numId w:val="1"/>
        </w:numPr>
        <w:spacing w:before="100" w:beforeAutospacing="1" w:after="100" w:afterAutospacing="1" w:line="240" w:lineRule="auto"/>
        <w:divId w:val="2121217649"/>
        <w:rPr>
          <w:rFonts w:ascii="Lato" w:eastAsia="Times New Roman" w:hAnsi="Lato"/>
        </w:rPr>
      </w:pPr>
      <w:r>
        <w:rPr>
          <w:rFonts w:ascii="Lato" w:eastAsia="Times New Roman" w:hAnsi="Lato"/>
        </w:rPr>
        <w:t>Only the resident(s) who met with or requested to meet with the superintendent or designee will be allowed to speak during this t</w:t>
      </w:r>
      <w:r>
        <w:rPr>
          <w:rFonts w:ascii="Lato" w:eastAsia="Times New Roman" w:hAnsi="Lato"/>
        </w:rPr>
        <w:t>ime.</w:t>
      </w:r>
      <w:r>
        <w:rPr>
          <w:rFonts w:ascii="Lato" w:eastAsia="Times New Roman" w:hAnsi="Lato"/>
        </w:rPr>
        <w:br/>
        <w:t> </w:t>
      </w:r>
    </w:p>
    <w:p w:rsidR="00000000" w:rsidRDefault="00340AC6">
      <w:pPr>
        <w:numPr>
          <w:ilvl w:val="0"/>
          <w:numId w:val="1"/>
        </w:numPr>
        <w:spacing w:before="100" w:beforeAutospacing="1" w:after="100" w:afterAutospacing="1" w:line="240" w:lineRule="auto"/>
        <w:divId w:val="2121217649"/>
        <w:rPr>
          <w:rFonts w:ascii="Lato" w:eastAsia="Times New Roman" w:hAnsi="Lato"/>
        </w:rPr>
      </w:pPr>
      <w:r>
        <w:rPr>
          <w:rFonts w:ascii="Lato" w:eastAsia="Times New Roman" w:hAnsi="Lato"/>
        </w:rPr>
        <w:t xml:space="preserve">If more than one resident seeks to speak on the same item at the same meeting, the board president, at their discretion, will determine the total time that will be devoted to the item and how the time will be shared between the residents. The board </w:t>
      </w:r>
      <w:r>
        <w:rPr>
          <w:rFonts w:ascii="Lato" w:eastAsia="Times New Roman" w:hAnsi="Lato"/>
        </w:rPr>
        <w:t>president will encourage residents to appoint a spokesperson or communicate their concerns through other means. If the board must limit the number of speakers, it will assign priority based on the order in which the requests were received.</w:t>
      </w:r>
      <w:r>
        <w:rPr>
          <w:rFonts w:ascii="Lato" w:eastAsia="Times New Roman" w:hAnsi="Lato"/>
        </w:rPr>
        <w:br/>
        <w:t> </w:t>
      </w:r>
    </w:p>
    <w:p w:rsidR="00000000" w:rsidRDefault="00340AC6">
      <w:pPr>
        <w:numPr>
          <w:ilvl w:val="0"/>
          <w:numId w:val="1"/>
        </w:numPr>
        <w:spacing w:before="100" w:beforeAutospacing="1" w:after="100" w:afterAutospacing="1" w:line="240" w:lineRule="auto"/>
        <w:divId w:val="2121217649"/>
        <w:rPr>
          <w:rFonts w:ascii="Lato" w:eastAsia="Times New Roman" w:hAnsi="Lato"/>
        </w:rPr>
      </w:pPr>
      <w:r>
        <w:rPr>
          <w:rFonts w:ascii="Lato" w:eastAsia="Times New Roman" w:hAnsi="Lato"/>
        </w:rPr>
        <w:t xml:space="preserve">Board members </w:t>
      </w:r>
      <w:r>
        <w:rPr>
          <w:rFonts w:ascii="Lato" w:eastAsia="Times New Roman" w:hAnsi="Lato"/>
        </w:rPr>
        <w:t>may ask the resident questions, seek additional information from the superintendent or designee, or otherwise discuss the topic.</w:t>
      </w:r>
      <w:r>
        <w:rPr>
          <w:rFonts w:ascii="Lato" w:eastAsia="Times New Roman" w:hAnsi="Lato"/>
        </w:rPr>
        <w:br/>
        <w:t> </w:t>
      </w:r>
    </w:p>
    <w:p w:rsidR="00000000" w:rsidRDefault="00340AC6">
      <w:pPr>
        <w:numPr>
          <w:ilvl w:val="0"/>
          <w:numId w:val="1"/>
        </w:numPr>
        <w:spacing w:before="100" w:beforeAutospacing="1" w:after="100" w:afterAutospacing="1" w:line="240" w:lineRule="auto"/>
        <w:divId w:val="2121217649"/>
        <w:rPr>
          <w:rFonts w:ascii="Lato" w:eastAsia="Times New Roman" w:hAnsi="Lato"/>
        </w:rPr>
      </w:pPr>
      <w:r>
        <w:rPr>
          <w:rFonts w:ascii="Lato" w:eastAsia="Times New Roman" w:hAnsi="Lato"/>
        </w:rPr>
        <w:t>The board may allow a resident additional time to speak upon the motion and vote of the board.</w:t>
      </w:r>
      <w:r>
        <w:rPr>
          <w:rFonts w:ascii="Lato" w:eastAsia="Times New Roman" w:hAnsi="Lato"/>
        </w:rPr>
        <w:br/>
        <w:t> </w:t>
      </w:r>
    </w:p>
    <w:p w:rsidR="00000000" w:rsidRDefault="00340AC6">
      <w:pPr>
        <w:numPr>
          <w:ilvl w:val="0"/>
          <w:numId w:val="1"/>
        </w:numPr>
        <w:spacing w:before="100" w:beforeAutospacing="1" w:after="100" w:afterAutospacing="1" w:line="240" w:lineRule="auto"/>
        <w:divId w:val="2121217649"/>
        <w:rPr>
          <w:rFonts w:ascii="Lato" w:eastAsia="Times New Roman" w:hAnsi="Lato"/>
        </w:rPr>
      </w:pPr>
      <w:r>
        <w:rPr>
          <w:rFonts w:ascii="Lato" w:eastAsia="Times New Roman" w:hAnsi="Lato"/>
        </w:rPr>
        <w:t xml:space="preserve">Any board member who wishes </w:t>
      </w:r>
      <w:r>
        <w:rPr>
          <w:rFonts w:ascii="Lato" w:eastAsia="Times New Roman" w:hAnsi="Lato"/>
        </w:rPr>
        <w:t>to devote more time to an agenda item may request that the item be put on the agenda for another meeting, which will be voted on by the board.</w:t>
      </w:r>
      <w:r>
        <w:rPr>
          <w:rFonts w:ascii="Lato" w:eastAsia="Times New Roman" w:hAnsi="Lato"/>
        </w:rPr>
        <w:br/>
        <w:t> </w:t>
      </w:r>
    </w:p>
    <w:p w:rsidR="00000000" w:rsidRDefault="00340AC6">
      <w:pPr>
        <w:numPr>
          <w:ilvl w:val="0"/>
          <w:numId w:val="1"/>
        </w:numPr>
        <w:spacing w:before="100" w:beforeAutospacing="1" w:after="100" w:afterAutospacing="1" w:line="240" w:lineRule="auto"/>
        <w:divId w:val="2121217649"/>
        <w:rPr>
          <w:rFonts w:ascii="Lato" w:eastAsia="Times New Roman" w:hAnsi="Lato"/>
        </w:rPr>
      </w:pPr>
      <w:r>
        <w:rPr>
          <w:rFonts w:ascii="Lato" w:eastAsia="Times New Roman" w:hAnsi="Lato"/>
        </w:rPr>
        <w:t>The board may discuss the public business content of presented agenda items but is not required to decide any m</w:t>
      </w:r>
      <w:r>
        <w:rPr>
          <w:rFonts w:ascii="Lato" w:eastAsia="Times New Roman" w:hAnsi="Lato"/>
        </w:rPr>
        <w:t>atter of public business or formulate any public policy as a result of the discussion.</w:t>
      </w:r>
    </w:p>
    <w:p w:rsidR="00000000" w:rsidRDefault="00340AC6">
      <w:pPr>
        <w:pStyle w:val="Heading3"/>
        <w:divId w:val="2121217649"/>
        <w:rPr>
          <w:rFonts w:ascii="Lato" w:eastAsia="Times New Roman" w:hAnsi="Lato"/>
        </w:rPr>
      </w:pPr>
      <w:r>
        <w:rPr>
          <w:rFonts w:ascii="Lato" w:eastAsia="Times New Roman" w:hAnsi="Lato"/>
        </w:rPr>
        <w:t>Public Hearings</w:t>
      </w:r>
    </w:p>
    <w:p w:rsidR="00000000" w:rsidRDefault="00340AC6">
      <w:pPr>
        <w:divId w:val="2121217649"/>
        <w:rPr>
          <w:rFonts w:ascii="Lato" w:eastAsia="Times New Roman" w:hAnsi="Lato"/>
        </w:rPr>
      </w:pPr>
      <w:r>
        <w:rPr>
          <w:rFonts w:ascii="Lato" w:eastAsia="Times New Roman" w:hAnsi="Lato"/>
        </w:rPr>
        <w:br/>
        <w:t>From time to time, the board will schedule a public hearing to receive input on matters of community concern, such as setting the district's tax rate. T</w:t>
      </w:r>
      <w:r>
        <w:rPr>
          <w:rFonts w:ascii="Lato" w:eastAsia="Times New Roman" w:hAnsi="Lato"/>
        </w:rPr>
        <w:t xml:space="preserve">he district will provide notice of these hearings as required by law and as determined necessary to inform the </w:t>
      </w:r>
      <w:proofErr w:type="gramStart"/>
      <w:r>
        <w:rPr>
          <w:rFonts w:ascii="Lato" w:eastAsia="Times New Roman" w:hAnsi="Lato"/>
        </w:rPr>
        <w:t>public .</w:t>
      </w:r>
      <w:proofErr w:type="gramEnd"/>
      <w:r>
        <w:rPr>
          <w:rFonts w:ascii="Lato" w:eastAsia="Times New Roman" w:hAnsi="Lato"/>
        </w:rPr>
        <w:br/>
        <w:t xml:space="preserve">  </w:t>
      </w:r>
    </w:p>
    <w:p w:rsidR="00D50F61" w:rsidRDefault="00340AC6">
      <w:pPr>
        <w:spacing w:after="0"/>
      </w:pPr>
      <w:proofErr w:type="gramStart"/>
      <w:r>
        <w:rPr>
          <w:rFonts w:ascii="Lato"/>
        </w:rPr>
        <w:t>©</w:t>
      </w:r>
      <w:r>
        <w:rPr>
          <w:rFonts w:ascii="Lato"/>
        </w:rPr>
        <w:t xml:space="preserve"> 2023, Missouri School Boards'</w:t>
      </w:r>
      <w:r>
        <w:rPr>
          <w:rFonts w:ascii="Lato"/>
        </w:rPr>
        <w:t xml:space="preserve"> Association.</w:t>
      </w:r>
      <w:proofErr w:type="gramEnd"/>
    </w:p>
    <w:p w:rsidR="00D50F61" w:rsidRDefault="00340AC6">
      <w:pPr>
        <w:spacing w:after="0"/>
      </w:pPr>
      <w:r>
        <w:rPr>
          <w:rFonts w:ascii="Lato"/>
        </w:rPr>
        <w:t>Version: [BDDH-2C.2B (1/23)]</w:t>
      </w:r>
    </w:p>
    <w:p w:rsidR="00D50F61" w:rsidRDefault="00D50F61">
      <w:pPr>
        <w:pBdr>
          <w:bottom w:val="single" w:sz="5" w:space="1" w:color="auto"/>
        </w:pBdr>
      </w:pPr>
    </w:p>
    <w:p w:rsidR="00000000" w:rsidRDefault="00340AC6">
      <w:pPr>
        <w:divId w:val="379133681"/>
        <w:rPr>
          <w:rFonts w:ascii="Lato" w:eastAsia="Times New Roman" w:hAnsi="Lato"/>
        </w:rPr>
      </w:pPr>
      <w:r>
        <w:rPr>
          <w:rFonts w:ascii="Lato" w:eastAsia="Times New Roman" w:hAnsi="Lato"/>
        </w:rPr>
        <w:t> </w:t>
      </w:r>
    </w:p>
    <w:p w:rsidR="00000000" w:rsidRDefault="00340AC6">
      <w:pPr>
        <w:pStyle w:val="Heading2"/>
        <w:shd w:val="clear" w:color="auto" w:fill="FFFFFF"/>
        <w:spacing w:before="0" w:beforeAutospacing="0" w:after="0" w:afterAutospacing="0"/>
        <w:textAlignment w:val="baseline"/>
        <w:divId w:val="1925723747"/>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000000" w:rsidRDefault="00340AC6">
      <w:pPr>
        <w:divId w:val="1925723747"/>
        <w:rPr>
          <w:rFonts w:ascii="Lato" w:eastAsia="Times New Roman" w:hAnsi="Lato"/>
        </w:rPr>
      </w:pPr>
      <w:r>
        <w:rPr>
          <w:rFonts w:ascii="Lato" w:eastAsia="Times New Roman" w:hAnsi="Lato"/>
          <w:color w:val="000000"/>
          <w:sz w:val="20"/>
          <w:szCs w:val="20"/>
          <w:shd w:val="clear" w:color="auto" w:fill="FFFFFF"/>
        </w:rPr>
        <w:t> </w:t>
      </w:r>
      <w:r>
        <w:rPr>
          <w:rFonts w:ascii="Lato" w:eastAsia="Times New Roman" w:hAnsi="Lato"/>
          <w:color w:val="000000"/>
          <w:sz w:val="20"/>
          <w:szCs w:val="20"/>
          <w:shd w:val="clear" w:color="auto" w:fill="FFFFFF"/>
        </w:rPr>
        <w:t>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color w:val="000000"/>
          <w:sz w:val="20"/>
          <w:szCs w:val="20"/>
          <w:shd w:val="clear" w:color="auto" w:fill="FFFFFF"/>
        </w:rPr>
        <w:t>.</w:t>
      </w:r>
      <w:r>
        <w:rPr>
          <w:rFonts w:ascii="Lato" w:eastAsia="Times New Roman" w:hAnsi="Lato"/>
        </w:rPr>
        <w:t xml:space="preserve"> </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D50F61">
        <w:tblPrEx>
          <w:tblCellMar>
            <w:top w:w="0" w:type="dxa"/>
            <w:bottom w:w="0" w:type="dxa"/>
          </w:tblCellMar>
        </w:tblPrEx>
        <w:tc>
          <w:tcPr>
            <w:tcW w:w="4017" w:type="dxa"/>
          </w:tcPr>
          <w:p w:rsidR="00D50F61" w:rsidRDefault="00340AC6">
            <w:pPr>
              <w:spacing w:after="0"/>
            </w:pPr>
            <w:r>
              <w:rPr>
                <w:rFonts w:ascii="Lato Black"/>
                <w:b/>
              </w:rPr>
              <w:t>State</w:t>
            </w:r>
          </w:p>
        </w:tc>
        <w:tc>
          <w:tcPr>
            <w:tcW w:w="5961" w:type="dxa"/>
          </w:tcPr>
          <w:p w:rsidR="00D50F61" w:rsidRDefault="00340AC6">
            <w:pPr>
              <w:spacing w:after="0"/>
            </w:pPr>
            <w:r>
              <w:rPr>
                <w:rFonts w:ascii="Lato Black"/>
                <w:b/>
              </w:rPr>
              <w:t>Description</w:t>
            </w:r>
          </w:p>
        </w:tc>
      </w:tr>
      <w:tr w:rsidR="00D50F61">
        <w:tblPrEx>
          <w:tblCellMar>
            <w:top w:w="0" w:type="dxa"/>
            <w:bottom w:w="0" w:type="dxa"/>
          </w:tblCellMar>
        </w:tblPrEx>
        <w:tc>
          <w:tcPr>
            <w:tcW w:w="4017" w:type="dxa"/>
          </w:tcPr>
          <w:p w:rsidR="00D50F61" w:rsidRDefault="00340AC6">
            <w:pPr>
              <w:spacing w:after="0"/>
            </w:pPr>
            <w:r>
              <w:rPr>
                <w:rFonts w:ascii="Lato"/>
              </w:rPr>
              <w:t>§§</w:t>
            </w:r>
            <w:r>
              <w:rPr>
                <w:rFonts w:ascii="Lato"/>
              </w:rPr>
              <w:t xml:space="preserve"> 162.058, 610.010-.030, </w:t>
            </w:r>
            <w:proofErr w:type="spellStart"/>
            <w:r>
              <w:rPr>
                <w:rFonts w:ascii="Lato"/>
              </w:rPr>
              <w:t>RSMo</w:t>
            </w:r>
            <w:proofErr w:type="spellEnd"/>
            <w:r>
              <w:rPr>
                <w:rFonts w:ascii="Lato"/>
              </w:rPr>
              <w:t>.</w:t>
            </w:r>
          </w:p>
        </w:tc>
        <w:tc>
          <w:tcPr>
            <w:tcW w:w="5961" w:type="dxa"/>
          </w:tcPr>
          <w:p w:rsidR="00D50F61" w:rsidRDefault="00340AC6">
            <w:hyperlink r:id="rId6" w:docLocation="https://revisor.mo.gov/main/Home.aspx">
              <w:r>
                <w:rPr>
                  <w:rFonts w:ascii="Lato"/>
                  <w:color w:val="0000FF" w:themeColor="hyperlink"/>
                  <w:u w:val="single"/>
                </w:rPr>
                <w:t>State Statute</w:t>
              </w:r>
            </w:hyperlink>
          </w:p>
        </w:tc>
      </w:tr>
    </w:tbl>
    <w:p w:rsidR="00000000" w:rsidRDefault="00340AC6">
      <w:pPr>
        <w:shd w:val="clear" w:color="auto" w:fill="F9F9F9"/>
        <w:spacing w:line="480" w:lineRule="auto"/>
        <w:divId w:val="269356465"/>
        <w:rPr>
          <w:rFonts w:ascii="Lato Black" w:eastAsia="Times New Roman" w:hAnsi="Lato Black"/>
          <w:b/>
          <w:bCs/>
        </w:rPr>
      </w:pPr>
      <w:r>
        <w:rPr>
          <w:rFonts w:ascii="Lato Black" w:eastAsia="Times New Roman" w:hAnsi="Lato Black"/>
          <w:b/>
          <w:bCs/>
        </w:rPr>
        <w:t>Cross References</w:t>
      </w:r>
    </w:p>
    <w:tbl>
      <w:tblPr>
        <w:tblW w:w="9993" w:type="dxa"/>
        <w:tblInd w:w="10" w:type="dxa"/>
        <w:tblCellMar>
          <w:left w:w="10" w:type="dxa"/>
          <w:right w:w="10" w:type="dxa"/>
        </w:tblCellMar>
        <w:tblLook w:val="0000" w:firstRow="0" w:lastRow="0" w:firstColumn="0" w:lastColumn="0" w:noHBand="0" w:noVBand="0"/>
      </w:tblPr>
      <w:tblGrid>
        <w:gridCol w:w="4023"/>
        <w:gridCol w:w="5970"/>
      </w:tblGrid>
      <w:tr w:rsidR="00D50F61">
        <w:tblPrEx>
          <w:tblCellMar>
            <w:top w:w="0" w:type="dxa"/>
            <w:bottom w:w="0" w:type="dxa"/>
          </w:tblCellMar>
        </w:tblPrEx>
        <w:tc>
          <w:tcPr>
            <w:tcW w:w="4017" w:type="dxa"/>
          </w:tcPr>
          <w:p w:rsidR="00D50F61" w:rsidRDefault="00340AC6">
            <w:pPr>
              <w:spacing w:after="0"/>
            </w:pPr>
            <w:r>
              <w:rPr>
                <w:rFonts w:ascii="Lato Black"/>
                <w:b/>
              </w:rPr>
              <w:t>Code</w:t>
            </w:r>
          </w:p>
        </w:tc>
        <w:tc>
          <w:tcPr>
            <w:tcW w:w="5961" w:type="dxa"/>
          </w:tcPr>
          <w:p w:rsidR="00D50F61" w:rsidRDefault="00340AC6">
            <w:pPr>
              <w:spacing w:after="0"/>
            </w:pPr>
            <w:r>
              <w:rPr>
                <w:rFonts w:ascii="Lato Black"/>
                <w:b/>
              </w:rPr>
              <w:t>Description</w:t>
            </w:r>
          </w:p>
        </w:tc>
      </w:tr>
      <w:tr w:rsidR="00D50F61">
        <w:tblPrEx>
          <w:tblCellMar>
            <w:top w:w="0" w:type="dxa"/>
            <w:bottom w:w="0" w:type="dxa"/>
          </w:tblCellMar>
        </w:tblPrEx>
        <w:tc>
          <w:tcPr>
            <w:tcW w:w="4017" w:type="dxa"/>
          </w:tcPr>
          <w:p w:rsidR="00D50F61" w:rsidRDefault="00340AC6">
            <w:pPr>
              <w:spacing w:after="0"/>
            </w:pPr>
            <w:r>
              <w:rPr>
                <w:rFonts w:ascii="Lato"/>
              </w:rPr>
              <w:t>GBM</w:t>
            </w:r>
          </w:p>
        </w:tc>
        <w:tc>
          <w:tcPr>
            <w:tcW w:w="5961" w:type="dxa"/>
          </w:tcPr>
          <w:p w:rsidR="00D50F61" w:rsidRDefault="00340AC6">
            <w:hyperlink r:id="rId7" w:docLocation="https://simbli.eboardsolutions.com/Policy/ViewPolicy.aspx?S=36031111&amp;revid=tA3NLbcrf9xlwvyUUuGCbg==">
              <w:r>
                <w:rPr>
                  <w:rFonts w:ascii="Lato"/>
                  <w:color w:val="0000FF" w:themeColor="hyperlink"/>
                  <w:u w:val="single"/>
                </w:rPr>
                <w:t>STAFF GRIEVANCES</w:t>
              </w:r>
            </w:hyperlink>
          </w:p>
        </w:tc>
      </w:tr>
      <w:tr w:rsidR="00D50F61">
        <w:tblPrEx>
          <w:tblCellMar>
            <w:top w:w="0" w:type="dxa"/>
            <w:bottom w:w="0" w:type="dxa"/>
          </w:tblCellMar>
        </w:tblPrEx>
        <w:tc>
          <w:tcPr>
            <w:tcW w:w="4017" w:type="dxa"/>
          </w:tcPr>
          <w:p w:rsidR="00D50F61" w:rsidRDefault="00340AC6">
            <w:pPr>
              <w:spacing w:after="0"/>
            </w:pPr>
            <w:r>
              <w:rPr>
                <w:rFonts w:ascii="Lato"/>
              </w:rPr>
              <w:t>HA</w:t>
            </w:r>
          </w:p>
        </w:tc>
        <w:tc>
          <w:tcPr>
            <w:tcW w:w="5961" w:type="dxa"/>
          </w:tcPr>
          <w:p w:rsidR="00D50F61" w:rsidRDefault="00340AC6">
            <w:hyperlink r:id="rId8" w:docLocation="https://simbli.eboardsolutions.com/Policy/ViewPolicy.aspx?S=36031111&amp;revid=NZfU2IhbREx4uU3Aev195w==">
              <w:r>
                <w:rPr>
                  <w:rFonts w:ascii="Lato"/>
                  <w:color w:val="0000FF" w:themeColor="hyperlink"/>
                  <w:u w:val="single"/>
                </w:rPr>
                <w:t>NEGOTIATIONS WITH EMPLOYEE REPRESENTATIVES</w:t>
              </w:r>
            </w:hyperlink>
          </w:p>
        </w:tc>
      </w:tr>
      <w:tr w:rsidR="00D50F61">
        <w:tblPrEx>
          <w:tblCellMar>
            <w:top w:w="0" w:type="dxa"/>
            <w:bottom w:w="0" w:type="dxa"/>
          </w:tblCellMar>
        </w:tblPrEx>
        <w:tc>
          <w:tcPr>
            <w:tcW w:w="4017" w:type="dxa"/>
          </w:tcPr>
          <w:p w:rsidR="00D50F61" w:rsidRDefault="00340AC6">
            <w:pPr>
              <w:spacing w:after="0"/>
            </w:pPr>
            <w:r>
              <w:rPr>
                <w:rFonts w:ascii="Lato"/>
              </w:rPr>
              <w:lastRenderedPageBreak/>
              <w:t>I</w:t>
            </w:r>
            <w:r>
              <w:rPr>
                <w:rFonts w:ascii="Lato"/>
              </w:rPr>
              <w:t>GCD</w:t>
            </w:r>
          </w:p>
        </w:tc>
        <w:tc>
          <w:tcPr>
            <w:tcW w:w="5961" w:type="dxa"/>
          </w:tcPr>
          <w:p w:rsidR="00D50F61" w:rsidRDefault="00340AC6">
            <w:hyperlink r:id="rId9" w:docLocation="https://simbli.eboardsolutions.com/Policy/ViewPolicy.aspx?S=36031111&amp;revid=qzgAF4M1lFglX67KTaEYDA==">
              <w:r>
                <w:rPr>
                  <w:rFonts w:ascii="Lato"/>
                  <w:color w:val="0000FF" w:themeColor="hyperlink"/>
                  <w:u w:val="single"/>
                </w:rPr>
                <w:t>VIRTUAL COURSES</w:t>
              </w:r>
            </w:hyperlink>
          </w:p>
        </w:tc>
      </w:tr>
      <w:tr w:rsidR="00D50F61">
        <w:tblPrEx>
          <w:tblCellMar>
            <w:top w:w="0" w:type="dxa"/>
            <w:bottom w:w="0" w:type="dxa"/>
          </w:tblCellMar>
        </w:tblPrEx>
        <w:tc>
          <w:tcPr>
            <w:tcW w:w="4017" w:type="dxa"/>
          </w:tcPr>
          <w:p w:rsidR="00D50F61" w:rsidRDefault="00340AC6">
            <w:pPr>
              <w:spacing w:after="0"/>
            </w:pPr>
            <w:r>
              <w:rPr>
                <w:rFonts w:ascii="Lato"/>
              </w:rPr>
              <w:t>IGCDA</w:t>
            </w:r>
          </w:p>
        </w:tc>
        <w:tc>
          <w:tcPr>
            <w:tcW w:w="5961" w:type="dxa"/>
          </w:tcPr>
          <w:p w:rsidR="00D50F61" w:rsidRDefault="00340AC6">
            <w:hyperlink r:id="rId10" w:docLocation="https://simbli.eboardsolutions.com/Policy/ViewPolicy.aspx?S=36031111&amp;revid=jTKVqRSBEMx1ugoatWGqRg==">
              <w:r>
                <w:rPr>
                  <w:rFonts w:ascii="Lato"/>
                  <w:color w:val="0000FF" w:themeColor="hyperlink"/>
                  <w:u w:val="single"/>
                </w:rPr>
                <w:t>FULL-TIME MOCAP VIRTUAL COURSES</w:t>
              </w:r>
            </w:hyperlink>
          </w:p>
        </w:tc>
      </w:tr>
      <w:tr w:rsidR="00D50F61">
        <w:tblPrEx>
          <w:tblCellMar>
            <w:top w:w="0" w:type="dxa"/>
            <w:bottom w:w="0" w:type="dxa"/>
          </w:tblCellMar>
        </w:tblPrEx>
        <w:tc>
          <w:tcPr>
            <w:tcW w:w="4017" w:type="dxa"/>
          </w:tcPr>
          <w:p w:rsidR="00D50F61" w:rsidRDefault="00340AC6">
            <w:pPr>
              <w:spacing w:after="0"/>
            </w:pPr>
            <w:r>
              <w:rPr>
                <w:rFonts w:ascii="Lato"/>
              </w:rPr>
              <w:t>KC</w:t>
            </w:r>
          </w:p>
        </w:tc>
        <w:tc>
          <w:tcPr>
            <w:tcW w:w="5961" w:type="dxa"/>
          </w:tcPr>
          <w:p w:rsidR="00D50F61" w:rsidRDefault="00340AC6">
            <w:hyperlink r:id="rId11" w:docLocation="https://simbli.eboardsolutions.com/Policy/ViewPolicy.aspx?S=36031111&amp;revid=BGtvbYaExaslshzsi4zL0eDxA==">
              <w:r>
                <w:rPr>
                  <w:rFonts w:ascii="Lato"/>
                  <w:color w:val="0000FF" w:themeColor="hyperlink"/>
                  <w:u w:val="single"/>
                </w:rPr>
                <w:t>COMMUNITY ENGAGEMENT</w:t>
              </w:r>
            </w:hyperlink>
          </w:p>
        </w:tc>
      </w:tr>
      <w:tr w:rsidR="00D50F61">
        <w:tblPrEx>
          <w:tblCellMar>
            <w:top w:w="0" w:type="dxa"/>
            <w:bottom w:w="0" w:type="dxa"/>
          </w:tblCellMar>
        </w:tblPrEx>
        <w:tc>
          <w:tcPr>
            <w:tcW w:w="4017" w:type="dxa"/>
          </w:tcPr>
          <w:p w:rsidR="00D50F61" w:rsidRDefault="00340AC6">
            <w:pPr>
              <w:spacing w:after="0"/>
            </w:pPr>
            <w:r>
              <w:rPr>
                <w:rFonts w:ascii="Lato"/>
              </w:rPr>
              <w:t>KK</w:t>
            </w:r>
          </w:p>
        </w:tc>
        <w:tc>
          <w:tcPr>
            <w:tcW w:w="5961" w:type="dxa"/>
          </w:tcPr>
          <w:p w:rsidR="00D50F61" w:rsidRDefault="00340AC6">
            <w:hyperlink r:id="rId12" w:docLocation="https://simbli.eboardsolutions.com/Policy/ViewPolicy.aspx?S=36031111&amp;revid=XmtbeSwXtyLEL2dbirQ9LA==">
              <w:r>
                <w:rPr>
                  <w:rFonts w:ascii="Lato"/>
                  <w:color w:val="0000FF" w:themeColor="hyperlink"/>
                  <w:u w:val="single"/>
                </w:rPr>
                <w:t>VISITORS TO DISTRICT PROPERTY/EVEN</w:t>
              </w:r>
              <w:r>
                <w:rPr>
                  <w:rFonts w:ascii="Lato"/>
                  <w:color w:val="0000FF" w:themeColor="hyperlink"/>
                  <w:u w:val="single"/>
                </w:rPr>
                <w:t>TS</w:t>
              </w:r>
            </w:hyperlink>
          </w:p>
        </w:tc>
      </w:tr>
      <w:tr w:rsidR="00D50F61">
        <w:tblPrEx>
          <w:tblCellMar>
            <w:top w:w="0" w:type="dxa"/>
            <w:bottom w:w="0" w:type="dxa"/>
          </w:tblCellMar>
        </w:tblPrEx>
        <w:tc>
          <w:tcPr>
            <w:tcW w:w="4017" w:type="dxa"/>
          </w:tcPr>
          <w:p w:rsidR="00D50F61" w:rsidRDefault="00340AC6">
            <w:pPr>
              <w:spacing w:after="0"/>
            </w:pPr>
            <w:r>
              <w:rPr>
                <w:rFonts w:ascii="Lato"/>
              </w:rPr>
              <w:t>KK-AP(1)</w:t>
            </w:r>
          </w:p>
        </w:tc>
        <w:tc>
          <w:tcPr>
            <w:tcW w:w="5961" w:type="dxa"/>
          </w:tcPr>
          <w:p w:rsidR="00D50F61" w:rsidRDefault="00340AC6">
            <w:hyperlink r:id="rId13" w:docLocation="https://simbli.eboardsolutions.com/Policy/ViewPolicy.aspx?S=36031111&amp;revid=0CTNClPfRiRzMPh0mx2slshrA==">
              <w:r>
                <w:rPr>
                  <w:rFonts w:ascii="Lato"/>
                  <w:color w:val="0000FF" w:themeColor="hyperlink"/>
                  <w:u w:val="single"/>
                </w:rPr>
                <w:t xml:space="preserve">VISITORS TO </w:t>
              </w:r>
              <w:r>
                <w:rPr>
                  <w:rFonts w:ascii="Lato"/>
                  <w:color w:val="0000FF" w:themeColor="hyperlink"/>
                  <w:u w:val="single"/>
                </w:rPr>
                <w:t>DISTRICT PROPERTY/EVENTS - (Public Conduct on District Property)</w:t>
              </w:r>
            </w:hyperlink>
          </w:p>
        </w:tc>
      </w:tr>
      <w:tr w:rsidR="00D50F61">
        <w:tblPrEx>
          <w:tblCellMar>
            <w:top w:w="0" w:type="dxa"/>
            <w:bottom w:w="0" w:type="dxa"/>
          </w:tblCellMar>
        </w:tblPrEx>
        <w:tc>
          <w:tcPr>
            <w:tcW w:w="4017" w:type="dxa"/>
          </w:tcPr>
          <w:p w:rsidR="00D50F61" w:rsidRDefault="00340AC6">
            <w:pPr>
              <w:spacing w:after="0"/>
            </w:pPr>
            <w:r>
              <w:rPr>
                <w:rFonts w:ascii="Lato"/>
              </w:rPr>
              <w:t>KL</w:t>
            </w:r>
          </w:p>
        </w:tc>
        <w:tc>
          <w:tcPr>
            <w:tcW w:w="5961" w:type="dxa"/>
          </w:tcPr>
          <w:p w:rsidR="00D50F61" w:rsidRDefault="00340AC6">
            <w:hyperlink r:id="rId14" w:docLocation="https://simbli.eboardsolutions.com/Policy/ViewPolicy.aspx?S=36031111&amp;revid=slshvjDo8hCIkH0dl0QL6Cq9g==">
              <w:r>
                <w:rPr>
                  <w:rFonts w:ascii="Lato"/>
                  <w:color w:val="0000FF" w:themeColor="hyperlink"/>
                  <w:u w:val="single"/>
                </w:rPr>
                <w:t>PUBLIC CONCERNS AND COMPLAINTS</w:t>
              </w:r>
            </w:hyperlink>
          </w:p>
        </w:tc>
      </w:tr>
      <w:tr w:rsidR="00D50F61">
        <w:tblPrEx>
          <w:tblCellMar>
            <w:top w:w="0" w:type="dxa"/>
            <w:bottom w:w="0" w:type="dxa"/>
          </w:tblCellMar>
        </w:tblPrEx>
        <w:tc>
          <w:tcPr>
            <w:tcW w:w="4017" w:type="dxa"/>
          </w:tcPr>
          <w:p w:rsidR="00D50F61" w:rsidRDefault="00340AC6">
            <w:pPr>
              <w:spacing w:after="0"/>
            </w:pPr>
            <w:r>
              <w:rPr>
                <w:rFonts w:ascii="Lato"/>
              </w:rPr>
              <w:t>KLB</w:t>
            </w:r>
          </w:p>
        </w:tc>
        <w:tc>
          <w:tcPr>
            <w:tcW w:w="5961" w:type="dxa"/>
          </w:tcPr>
          <w:p w:rsidR="00D50F61" w:rsidRDefault="00340AC6">
            <w:hyperlink r:id="rId15" w:docLocation="https://simbli.eboardsolutions.com/Policy/ViewPolicy.aspx?S=36031111&amp;revid=4clCeaBOksXOc4LiNslshrZ1g==">
              <w:r>
                <w:rPr>
                  <w:rFonts w:ascii="Lato"/>
                  <w:color w:val="0000FF" w:themeColor="hyperlink"/>
                  <w:u w:val="single"/>
                </w:rPr>
                <w:t>PUBLIC QUESTIONS, COMMENTS OR CONCERNS REGARDING DISTRICT INSTRUCTIONAL/MEDIA/LIBRARY MATERIALS</w:t>
              </w:r>
            </w:hyperlink>
          </w:p>
        </w:tc>
      </w:tr>
      <w:tr w:rsidR="00D50F61">
        <w:tblPrEx>
          <w:tblCellMar>
            <w:top w:w="0" w:type="dxa"/>
            <w:bottom w:w="0" w:type="dxa"/>
          </w:tblCellMar>
        </w:tblPrEx>
        <w:tc>
          <w:tcPr>
            <w:tcW w:w="4017" w:type="dxa"/>
          </w:tcPr>
          <w:p w:rsidR="00D50F61" w:rsidRDefault="00340AC6">
            <w:pPr>
              <w:spacing w:after="0"/>
            </w:pPr>
            <w:r>
              <w:rPr>
                <w:rFonts w:ascii="Lato"/>
              </w:rPr>
              <w:t>KLB-AP(1)</w:t>
            </w:r>
          </w:p>
        </w:tc>
        <w:tc>
          <w:tcPr>
            <w:tcW w:w="5961" w:type="dxa"/>
          </w:tcPr>
          <w:p w:rsidR="00D50F61" w:rsidRDefault="00340AC6">
            <w:hyperlink r:id="rId16" w:docLocation="https://simbli.eboardsolutions.com/Policy/ViewPolicy.aspx?S=36031111&amp;revid=E4nakJySrRDuP0enlZYlslshg==">
              <w:r>
                <w:rPr>
                  <w:rFonts w:ascii="Lato"/>
                  <w:color w:val="0000FF" w:themeColor="hyperlink"/>
                  <w:u w:val="single"/>
                </w:rPr>
                <w:t>PUBLIC QUESTIONS, COMMENTS OR CONCERNS REGARDING DISTRICT INSTRUCTIONAL/MEDIA/LIBRARY MATERIALS - (Answering Questions/Con</w:t>
              </w:r>
              <w:r>
                <w:rPr>
                  <w:rFonts w:ascii="Lato"/>
                  <w:color w:val="0000FF" w:themeColor="hyperlink"/>
                  <w:u w:val="single"/>
                </w:rPr>
                <w:t>cerns)</w:t>
              </w:r>
            </w:hyperlink>
          </w:p>
        </w:tc>
      </w:tr>
    </w:tbl>
    <w:p w:rsidR="00340AC6" w:rsidRDefault="00340AC6"/>
    <w:sectPr w:rsidR="00340AC6">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1432E"/>
    <w:multiLevelType w:val="multilevel"/>
    <w:tmpl w:val="F4CE03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61"/>
    <w:rsid w:val="00340AC6"/>
    <w:rsid w:val="0093787D"/>
    <w:rsid w:val="00D5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707140">
      <w:bodyDiv w:val="1"/>
      <w:marLeft w:val="0"/>
      <w:marRight w:val="0"/>
      <w:marTop w:val="0"/>
      <w:marBottom w:val="0"/>
      <w:divBdr>
        <w:top w:val="none" w:sz="0" w:space="0" w:color="auto"/>
        <w:left w:val="none" w:sz="0" w:space="0" w:color="auto"/>
        <w:bottom w:val="none" w:sz="0" w:space="0" w:color="auto"/>
        <w:right w:val="none" w:sz="0" w:space="0" w:color="auto"/>
      </w:divBdr>
      <w:divsChild>
        <w:div w:id="269356465">
          <w:marLeft w:val="0"/>
          <w:marRight w:val="0"/>
          <w:marTop w:val="150"/>
          <w:marBottom w:val="0"/>
          <w:divBdr>
            <w:top w:val="none" w:sz="0" w:space="0" w:color="auto"/>
            <w:left w:val="none" w:sz="0" w:space="0" w:color="auto"/>
            <w:bottom w:val="none" w:sz="0" w:space="0" w:color="auto"/>
            <w:right w:val="none" w:sz="0" w:space="0" w:color="auto"/>
          </w:divBdr>
        </w:div>
      </w:divsChild>
    </w:div>
    <w:div w:id="1925723747">
      <w:bodyDiv w:val="1"/>
      <w:marLeft w:val="0"/>
      <w:marRight w:val="0"/>
      <w:marTop w:val="0"/>
      <w:marBottom w:val="0"/>
      <w:divBdr>
        <w:top w:val="none" w:sz="0" w:space="0" w:color="auto"/>
        <w:left w:val="none" w:sz="0" w:space="0" w:color="auto"/>
        <w:bottom w:val="none" w:sz="0" w:space="0" w:color="auto"/>
        <w:right w:val="none" w:sz="0" w:space="0" w:color="auto"/>
      </w:divBdr>
      <w:divsChild>
        <w:div w:id="1109812674">
          <w:marLeft w:val="0"/>
          <w:marRight w:val="0"/>
          <w:marTop w:val="0"/>
          <w:marBottom w:val="0"/>
          <w:divBdr>
            <w:top w:val="none" w:sz="0" w:space="0" w:color="auto"/>
            <w:left w:val="none" w:sz="0" w:space="0" w:color="auto"/>
            <w:bottom w:val="none" w:sz="0" w:space="0" w:color="auto"/>
            <w:right w:val="none" w:sz="0" w:space="0" w:color="auto"/>
          </w:divBdr>
          <w:divsChild>
            <w:div w:id="323051879">
              <w:marLeft w:val="0"/>
              <w:marRight w:val="0"/>
              <w:marTop w:val="0"/>
              <w:marBottom w:val="0"/>
              <w:divBdr>
                <w:top w:val="none" w:sz="0" w:space="0" w:color="auto"/>
                <w:left w:val="none" w:sz="0" w:space="0" w:color="auto"/>
                <w:bottom w:val="none" w:sz="0" w:space="0" w:color="auto"/>
                <w:right w:val="none" w:sz="0" w:space="0" w:color="auto"/>
              </w:divBdr>
              <w:divsChild>
                <w:div w:id="3791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17649">
      <w:bodyDiv w:val="1"/>
      <w:marLeft w:val="0"/>
      <w:marRight w:val="0"/>
      <w:marTop w:val="0"/>
      <w:marBottom w:val="0"/>
      <w:divBdr>
        <w:top w:val="none" w:sz="0" w:space="0" w:color="auto"/>
        <w:left w:val="none" w:sz="0" w:space="0" w:color="auto"/>
        <w:bottom w:val="none" w:sz="0" w:space="0" w:color="auto"/>
        <w:right w:val="none" w:sz="0" w:space="0" w:color="auto"/>
      </w:divBdr>
      <w:divsChild>
        <w:div w:id="852454384">
          <w:marLeft w:val="6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mbli.eboardsolutions.com/Policy/ViewPolicy.aspx?S=36031111&amp;revid=NZfU2IhbREx4uU3Aev195w==" TargetMode="External"/><Relationship Id="rId13" Type="http://schemas.openxmlformats.org/officeDocument/2006/relationships/hyperlink" Target="https://simbli.eboardsolutions.com/Policy/ViewPolicy.aspx?S=36031111&amp;revid=0CTNClPfRiRzMPh0mx2slshr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imbli.eboardsolutions.com/Policy/ViewPolicy.aspx?S=36031111&amp;revid=tA3NLbcrf9xlwvyUUuGCbg==" TargetMode="External"/><Relationship Id="rId12" Type="http://schemas.openxmlformats.org/officeDocument/2006/relationships/hyperlink" Target="https://simbli.eboardsolutions.com/Policy/ViewPolicy.aspx?S=36031111&amp;revid=XmtbeSwXtyLEL2dbirQ9L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mbli.eboardsolutions.com/Policy/ViewPolicy.aspx?S=36031111&amp;revid=E4nakJySrRDuP0enlZYlslshg==" TargetMode="External"/><Relationship Id="rId1" Type="http://schemas.openxmlformats.org/officeDocument/2006/relationships/numbering" Target="numbering.xml"/><Relationship Id="rId6" Type="http://schemas.openxmlformats.org/officeDocument/2006/relationships/hyperlink" Target="https://revisor.mo.gov/main/Home.aspx" TargetMode="External"/><Relationship Id="rId11" Type="http://schemas.openxmlformats.org/officeDocument/2006/relationships/hyperlink" Target="https://simbli.eboardsolutions.com/Policy/ViewPolicy.aspx?S=36031111&amp;revid=BGtvbYaExaslshzsi4zL0eDxA==" TargetMode="External"/><Relationship Id="rId5" Type="http://schemas.openxmlformats.org/officeDocument/2006/relationships/webSettings" Target="webSettings.xml"/><Relationship Id="rId15" Type="http://schemas.openxmlformats.org/officeDocument/2006/relationships/hyperlink" Target="https://simbli.eboardsolutions.com/Policy/ViewPolicy.aspx?S=36031111&amp;revid=4clCeaBOksXOc4LiNslshrZ1g==" TargetMode="External"/><Relationship Id="rId10" Type="http://schemas.openxmlformats.org/officeDocument/2006/relationships/hyperlink" Target="https://simbli.eboardsolutions.com/Policy/ViewPolicy.aspx?S=36031111&amp;revid=jTKVqRSBEMx1ugoatWGqRg==" TargetMode="External"/><Relationship Id="rId4" Type="http://schemas.openxmlformats.org/officeDocument/2006/relationships/settings" Target="settings.xml"/><Relationship Id="rId9" Type="http://schemas.openxmlformats.org/officeDocument/2006/relationships/hyperlink" Target="https://simbli.eboardsolutions.com/Policy/ViewPolicy.aspx?S=36031111&amp;revid=qzgAF4M1lFglX67KTaEYDA==" TargetMode="External"/><Relationship Id="rId14" Type="http://schemas.openxmlformats.org/officeDocument/2006/relationships/hyperlink" Target="https://simbli.eboardsolutions.com/Policy/ViewPolicy.aspx?S=36031111&amp;revid=slshvjDo8hCIkH0dl0QL6Cq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2</cp:revision>
  <dcterms:created xsi:type="dcterms:W3CDTF">2023-03-07T16:52:00Z</dcterms:created>
  <dcterms:modified xsi:type="dcterms:W3CDTF">2023-03-07T16:52:00Z</dcterms:modified>
</cp:coreProperties>
</file>